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55"/>
        <w:tblW w:w="8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359"/>
        <w:gridCol w:w="1257"/>
        <w:gridCol w:w="653"/>
        <w:gridCol w:w="1198"/>
        <w:gridCol w:w="753"/>
      </w:tblGrid>
      <w:tr w:rsidR="0044402E" w:rsidRPr="00801334" w:rsidTr="00801334">
        <w:trPr>
          <w:trHeight w:val="694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3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AE33A5" w:rsidP="00B801B9">
            <w:pPr>
              <w:widowControl/>
              <w:shd w:val="clear" w:color="auto" w:fill="FFFFFF"/>
              <w:spacing w:line="4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移动互联网进课堂平台培训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4F8" w:rsidRPr="00801334" w:rsidRDefault="00D334F8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教务处</w:t>
            </w:r>
          </w:p>
          <w:p w:rsidR="0044402E" w:rsidRPr="00801334" w:rsidRDefault="0044402E" w:rsidP="00D334F8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教师教学发展中心</w:t>
            </w:r>
          </w:p>
        </w:tc>
      </w:tr>
      <w:tr w:rsidR="0044402E" w:rsidRPr="00801334" w:rsidTr="00801334">
        <w:trPr>
          <w:trHeight w:val="850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讲座和互动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AE33A5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全体教师</w:t>
            </w:r>
          </w:p>
        </w:tc>
      </w:tr>
      <w:tr w:rsidR="0044402E" w:rsidRPr="00801334" w:rsidTr="00801334">
        <w:trPr>
          <w:trHeight w:val="748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</w:t>
            </w:r>
            <w:bookmarkStart w:id="0" w:name="_GoBack"/>
            <w:bookmarkEnd w:id="0"/>
            <w:r w:rsidR="00AE33A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年3月</w:t>
            </w:r>
            <w:r w:rsidR="00AE33A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日</w:t>
            </w:r>
          </w:p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="00AE33A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 w:rsidR="00AE33A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0-1</w:t>
            </w:r>
            <w:r w:rsidR="00AE33A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 w:rsidR="00FF0E5A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AE33A5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阶101</w:t>
            </w:r>
          </w:p>
        </w:tc>
      </w:tr>
      <w:tr w:rsidR="0044402E" w:rsidRPr="00801334" w:rsidTr="00801334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9"/>
                <w:szCs w:val="29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9"/>
                <w:szCs w:val="29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2学时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FF0E5A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  <w:r w:rsidR="0044402E"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5F2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活动开办</w:t>
            </w:r>
          </w:p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人数上限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AE33A5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="00FF0E5A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 w:rsidR="0044402E"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4402E" w:rsidRPr="00801334" w:rsidTr="00801334">
        <w:trPr>
          <w:trHeight w:val="707"/>
        </w:trPr>
        <w:tc>
          <w:tcPr>
            <w:tcW w:w="85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02E" w:rsidRPr="00801334" w:rsidRDefault="0044402E" w:rsidP="00C078FD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活 动 简 </w:t>
            </w:r>
            <w:proofErr w:type="gramStart"/>
            <w:r w:rsidRPr="00801334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介</w:t>
            </w:r>
            <w:proofErr w:type="gramEnd"/>
          </w:p>
        </w:tc>
      </w:tr>
      <w:tr w:rsidR="0044402E" w:rsidRPr="00801334" w:rsidTr="00801334">
        <w:trPr>
          <w:trHeight w:val="6227"/>
        </w:trPr>
        <w:tc>
          <w:tcPr>
            <w:tcW w:w="85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7CC" w:rsidRPr="00801334" w:rsidRDefault="00ED77CC" w:rsidP="00C078FD">
            <w:pPr>
              <w:widowControl/>
              <w:shd w:val="clear" w:color="auto" w:fill="FFFFFF"/>
              <w:spacing w:line="48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移动互联网为各个行业带来了巨大的机遇和</w:t>
            </w:r>
            <w:r w:rsidR="00CC641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挑战，教育行业更是如此。</w:t>
            </w:r>
          </w:p>
          <w:p w:rsidR="00CC6415" w:rsidRPr="00801334" w:rsidRDefault="00CC6415" w:rsidP="00C078FD">
            <w:pPr>
              <w:widowControl/>
              <w:shd w:val="clear" w:color="auto" w:fill="FFFFFF"/>
              <w:spacing w:line="48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面对“移动互联网时代原著民”的在校生们，学校对于手机和移动技术如果能够善加利用，就可以变被动为主动，极大地扩展教学空间，进行跨越时空的学习；创建全新的课堂模式，实现充分的师生互动；有效打通课内课外，完成全流程的形成性考核评估。因此，此次讲座</w:t>
            </w:r>
            <w:proofErr w:type="gramStart"/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邀请超星公司</w:t>
            </w:r>
            <w:proofErr w:type="gramEnd"/>
            <w:r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高级培训师为广大教师进行移动互联网进课堂平台培训。</w:t>
            </w:r>
          </w:p>
          <w:p w:rsidR="00CC6415" w:rsidRPr="00801334" w:rsidRDefault="00CC6415" w:rsidP="00C078FD">
            <w:pPr>
              <w:widowControl/>
              <w:spacing w:line="4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801334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9"/>
                <w:szCs w:val="29"/>
              </w:rPr>
              <w:t xml:space="preserve">   </w:t>
            </w:r>
            <w:r w:rsidR="00F11176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有兴趣参加本次活动的教师，请于2017年3月1</w:t>
            </w:r>
            <w:r w:rsidR="00225007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 w:rsidR="00F11176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日</w:t>
            </w:r>
            <w:r w:rsidR="00225007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11:00</w:t>
            </w:r>
            <w:r w:rsidR="00F11176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前到教务处谢桂花老师处报名，联系电话：8015147。</w:t>
            </w:r>
          </w:p>
          <w:p w:rsidR="00F11176" w:rsidRPr="00801334" w:rsidRDefault="00F11176" w:rsidP="00C078FD">
            <w:pPr>
              <w:widowControl/>
              <w:spacing w:line="48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44402E" w:rsidRPr="00801334" w:rsidRDefault="0044402E" w:rsidP="00C078FD">
            <w:pPr>
              <w:widowControl/>
              <w:spacing w:line="48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0133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专家简介</w:t>
            </w:r>
            <w:r w:rsidRPr="00801334"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9"/>
                <w:szCs w:val="29"/>
              </w:rPr>
              <w:t>：</w:t>
            </w:r>
            <w:r w:rsidR="00ED77CC" w:rsidRPr="00801334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A763F3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张雪薇，</w:t>
            </w:r>
            <w:proofErr w:type="gramStart"/>
            <w:r w:rsidR="00CC641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超星公司</w:t>
            </w:r>
            <w:proofErr w:type="gramEnd"/>
            <w:r w:rsidR="00CC6415" w:rsidRPr="0080133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高级培训师，参与过多场高校组织的培训活动。</w:t>
            </w:r>
          </w:p>
        </w:tc>
      </w:tr>
    </w:tbl>
    <w:p w:rsidR="00C078FD" w:rsidRPr="00B801B9" w:rsidRDefault="00C078FD" w:rsidP="002D15F2">
      <w:pPr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B801B9">
        <w:rPr>
          <w:rFonts w:ascii="宋体" w:eastAsia="宋体" w:hAnsi="宋体" w:cs="宋体" w:hint="eastAsia"/>
          <w:b/>
          <w:kern w:val="0"/>
          <w:sz w:val="30"/>
          <w:szCs w:val="30"/>
        </w:rPr>
        <w:t>衢州学院教师教学发展培训项目预告（</w:t>
      </w:r>
      <w:r w:rsidR="00B801B9" w:rsidRPr="00B801B9">
        <w:rPr>
          <w:rFonts w:ascii="宋体" w:eastAsia="宋体" w:hAnsi="宋体" w:cs="宋体" w:hint="eastAsia"/>
          <w:b/>
          <w:kern w:val="0"/>
          <w:sz w:val="30"/>
          <w:szCs w:val="30"/>
        </w:rPr>
        <w:t>一百七十二</w:t>
      </w:r>
      <w:r w:rsidRPr="00B801B9">
        <w:rPr>
          <w:rFonts w:ascii="宋体" w:eastAsia="宋体" w:hAnsi="宋体" w:cs="宋体" w:hint="eastAsia"/>
          <w:b/>
          <w:kern w:val="0"/>
          <w:sz w:val="30"/>
          <w:szCs w:val="30"/>
        </w:rPr>
        <w:t>）</w:t>
      </w:r>
    </w:p>
    <w:p w:rsidR="00FB071A" w:rsidRPr="002D15F2" w:rsidRDefault="004E45AD" w:rsidP="002D15F2">
      <w:pPr>
        <w:jc w:val="center"/>
      </w:pPr>
    </w:p>
    <w:sectPr w:rsidR="00FB071A" w:rsidRPr="002D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AD" w:rsidRDefault="004E45AD" w:rsidP="0044402E">
      <w:r>
        <w:separator/>
      </w:r>
    </w:p>
  </w:endnote>
  <w:endnote w:type="continuationSeparator" w:id="0">
    <w:p w:rsidR="004E45AD" w:rsidRDefault="004E45AD" w:rsidP="004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AD" w:rsidRDefault="004E45AD" w:rsidP="0044402E">
      <w:r>
        <w:separator/>
      </w:r>
    </w:p>
  </w:footnote>
  <w:footnote w:type="continuationSeparator" w:id="0">
    <w:p w:rsidR="004E45AD" w:rsidRDefault="004E45AD" w:rsidP="0044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76"/>
    <w:rsid w:val="00010E7D"/>
    <w:rsid w:val="000C33C7"/>
    <w:rsid w:val="002150DB"/>
    <w:rsid w:val="00225007"/>
    <w:rsid w:val="002D15F2"/>
    <w:rsid w:val="0044402E"/>
    <w:rsid w:val="004E45AD"/>
    <w:rsid w:val="00587C6F"/>
    <w:rsid w:val="005B24FA"/>
    <w:rsid w:val="00801334"/>
    <w:rsid w:val="00801747"/>
    <w:rsid w:val="00846221"/>
    <w:rsid w:val="00954CAF"/>
    <w:rsid w:val="0096072D"/>
    <w:rsid w:val="0098493C"/>
    <w:rsid w:val="00A75160"/>
    <w:rsid w:val="00A763F3"/>
    <w:rsid w:val="00AB6E60"/>
    <w:rsid w:val="00AE33A5"/>
    <w:rsid w:val="00AF2692"/>
    <w:rsid w:val="00B44152"/>
    <w:rsid w:val="00B74812"/>
    <w:rsid w:val="00B76CEE"/>
    <w:rsid w:val="00B801B9"/>
    <w:rsid w:val="00B81E97"/>
    <w:rsid w:val="00BA7706"/>
    <w:rsid w:val="00BF4500"/>
    <w:rsid w:val="00C078FD"/>
    <w:rsid w:val="00C14B25"/>
    <w:rsid w:val="00C56C3D"/>
    <w:rsid w:val="00C87395"/>
    <w:rsid w:val="00C95F1E"/>
    <w:rsid w:val="00CC6415"/>
    <w:rsid w:val="00D334F8"/>
    <w:rsid w:val="00D50D76"/>
    <w:rsid w:val="00D73293"/>
    <w:rsid w:val="00DA5077"/>
    <w:rsid w:val="00DF6146"/>
    <w:rsid w:val="00ED77CC"/>
    <w:rsid w:val="00F11176"/>
    <w:rsid w:val="00F52245"/>
    <w:rsid w:val="00FE4BBC"/>
    <w:rsid w:val="00FE72C1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0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谢桂花</dc:creator>
  <cp:keywords/>
  <dc:description/>
  <cp:lastModifiedBy>administrator</cp:lastModifiedBy>
  <cp:revision>65</cp:revision>
  <dcterms:created xsi:type="dcterms:W3CDTF">2016-03-02T03:31:00Z</dcterms:created>
  <dcterms:modified xsi:type="dcterms:W3CDTF">2017-03-08T07:36:00Z</dcterms:modified>
</cp:coreProperties>
</file>